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91a6bd" w:val="clear"/>
        <w:spacing w:before="12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PROGRAMA EDUCATIVO INDIVIDUAL</w:t>
      </w:r>
    </w:p>
    <w:p w:rsidR="00000000" w:rsidDel="00000000" w:rsidP="00000000" w:rsidRDefault="00000000" w:rsidRPr="00000000" w14:paraId="00000003">
      <w:pPr>
        <w:shd w:fill="91a6bd" w:val="clear"/>
        <w:spacing w:before="120" w:line="259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(Artigo 24º do Decreto-Lei Nº 54/2018)</w:t>
      </w:r>
    </w:p>
    <w:p w:rsidR="00000000" w:rsidDel="00000000" w:rsidP="00000000" w:rsidRDefault="00000000" w:rsidRPr="00000000" w14:paraId="00000004">
      <w:pPr>
        <w:shd w:fill="91a6bd" w:val="clear"/>
        <w:spacing w:before="24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670"/>
        <w:gridCol w:w="1545"/>
        <w:gridCol w:w="2760"/>
        <w:tblGridChange w:id="0">
          <w:tblGrid>
            <w:gridCol w:w="2805"/>
            <w:gridCol w:w="2670"/>
            <w:gridCol w:w="1545"/>
            <w:gridCol w:w="2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Idade: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Educação/Ensino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Grupo/Turma: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Processo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Escola/Agrupamento de Escolas:</w:t>
            </w:r>
          </w:p>
        </w:tc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ANO LETIVO 2024/2025</w:t>
      </w:r>
    </w:p>
    <w:tbl>
      <w:tblPr>
        <w:tblStyle w:val="Table2"/>
        <w:tblW w:w="9705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2730"/>
        <w:gridCol w:w="1260"/>
        <w:gridCol w:w="4755"/>
        <w:tblGridChange w:id="0">
          <w:tblGrid>
            <w:gridCol w:w="960"/>
            <w:gridCol w:w="2730"/>
            <w:gridCol w:w="1260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91a6bd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Coordenador da implementação das medidas propostas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(n.º10 do Art.º 21.º do Decreto-Lei Nº54/2018)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59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3285"/>
        <w:gridCol w:w="3825"/>
        <w:tblGridChange w:id="0">
          <w:tblGrid>
            <w:gridCol w:w="2580"/>
            <w:gridCol w:w="3285"/>
            <w:gridCol w:w="382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91a6bd" w:val="clear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Responsáveis pela implementação das Medidas de Suporte à Aprendizagem e à Inclusão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Nota: A assinatura deste documento pressupõe a leitura/conhecimento da informação constante no Programa Educativo Individual do aluno a que se reporta.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bottom w:color="000000" w:space="6" w:sz="18" w:val="single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Jg/O/BhpMTTKUXIL9v7b/Kjcw==">CgMxLjAyCGguZ2pkZ3hzOAByITFPX3k0X3hZWUY4SjRmVTFHVFdnMHdiZWJKdmNSN0pYRg==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